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страхования и перестрахования</w:t>
            </w:r>
          </w:p>
          <w:p>
            <w:pPr>
              <w:jc w:val="center"/>
              <w:spacing w:after="0" w:line="240" w:lineRule="auto"/>
              <w:rPr>
                <w:sz w:val="32"/>
                <w:szCs w:val="32"/>
              </w:rPr>
            </w:pPr>
            <w:r>
              <w:rPr>
                <w:rFonts w:ascii="Times New Roman" w:hAnsi="Times New Roman" w:cs="Times New Roman"/>
                <w:color w:val="#000000"/>
                <w:sz w:val="32"/>
                <w:szCs w:val="32"/>
              </w:rPr>
              <w:t> Б1.В.03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страхования и перестрахования»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 «Теория страхования и перестрахования».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страхования и перестрахования»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 реализации новых программ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страхования и страховое дело</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риск-менеджмент и маркетинг страховых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анализировать существующие страховые программы и страховые продукты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разрабатывать типовые правила страхования и образцы договоров (полисов)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владеть навыками подготовки предложений по внедрению новых программ страхования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владеть навыками разработки типовых правил страхования, образцов договоров (полисов) и документов методического характера по их заключению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владеть навыками привлечения потребителей страховых услуг к заключению договоров по новым программам страхования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потребителей и поставщиков страховых (перестраховочных) услуг и иных лиц (в том числе органы власти) по вопросам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страхования и страховое дело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готовить аналитические отчеты, экспертные заключения и методические рекомендации для потребителей страховых услуг</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навыками подготовки аналитических отчетов, экспертных заключений и методических рекомендаций для потребителей страховых услуг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 «Теория страхования и перестрахования»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 Макроэкономика (продвинутый уровень)</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Нормативно-правовые и методические документы в области страхования (перестрахования)</w:t>
            </w:r>
          </w:p>
          <w:p>
            <w:pPr>
              <w:jc w:val="center"/>
              <w:spacing w:after="0" w:line="240" w:lineRule="auto"/>
              <w:rPr>
                <w:sz w:val="22"/>
                <w:szCs w:val="22"/>
              </w:rPr>
            </w:pPr>
            <w:r>
              <w:rPr>
                <w:rFonts w:ascii="Times New Roman" w:hAnsi="Times New Roman" w:cs="Times New Roman"/>
                <w:color w:val="#000000"/>
                <w:sz w:val="22"/>
                <w:szCs w:val="22"/>
              </w:rPr>
              <w:t> Финансовый  менеджмент</w:t>
            </w:r>
          </w:p>
          <w:p>
            <w:pPr>
              <w:jc w:val="center"/>
              <w:spacing w:after="0" w:line="240" w:lineRule="auto"/>
              <w:rPr>
                <w:sz w:val="22"/>
                <w:szCs w:val="22"/>
              </w:rPr>
            </w:pPr>
            <w:r>
              <w:rPr>
                <w:rFonts w:ascii="Times New Roman" w:hAnsi="Times New Roman" w:cs="Times New Roman"/>
                <w:color w:val="#000000"/>
                <w:sz w:val="22"/>
                <w:szCs w:val="22"/>
              </w:rPr>
              <w:t> Экономика 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630.042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изучения теории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страхования в бизнес-среде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правовоые нормы теории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рынок и его участники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и перспективы развития страхового рынка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Хараткеристика организации страховой деятельности,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виды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страховых операций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Перспективы развития страхования ответственности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Хараткеристика видов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Экономика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показатели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показателей деятельности страховых организаций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экономических показателей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результативности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престрахования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перестрахования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456.5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изучения теории страхования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дисциплины. Место дисциплины в структуре образовательной программы. Планируемые результаты освоения дисциплины. Основные понятия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страхования. Классификация страхования. Принципы обязательного и добровольного страхования.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Страховой рынок и его участники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страхового рынка.  Страховая услуга и ее особенности. Страховые посредники.</w:t>
            </w:r>
          </w:p>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страховой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страховых операций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Личное страхование. Медицинское страхование. Классификация имущественного страхования. Страхование предпринимательских рисков. Страхование гражданской ответственности.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показатели деятельности страховых организаций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основы построения страховых тарифов. Особенности организации финансов страховщика. Страховые резервы: понятие, структура. Государственное регулирование размещения страховых резервов. Понятие маржи платежеспособности.</w:t>
            </w:r>
          </w:p>
          <w:p>
            <w:pPr>
              <w:jc w:val="both"/>
              <w:spacing w:after="0" w:line="240" w:lineRule="auto"/>
              <w:rPr>
                <w:sz w:val="24"/>
                <w:szCs w:val="24"/>
              </w:rPr>
            </w:pPr>
            <w:r>
              <w:rPr>
                <w:rFonts w:ascii="Times New Roman" w:hAnsi="Times New Roman" w:cs="Times New Roman"/>
                <w:color w:val="#000000"/>
                <w:sz w:val="24"/>
                <w:szCs w:val="24"/>
              </w:rPr>
              <w:t> Порядок формирования финансовых результатов деятельности страховщиков.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перестрахования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перестрахования. Формы и виды договоров перестрахования. Непропорциональное перестрахование как метод распределения убытков.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правовоые нормы теории страхования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категория страховой защиты.</w:t>
            </w:r>
          </w:p>
          <w:p>
            <w:pPr>
              <w:jc w:val="left"/>
              <w:spacing w:after="0" w:line="240" w:lineRule="auto"/>
              <w:rPr>
                <w:sz w:val="24"/>
                <w:szCs w:val="24"/>
              </w:rPr>
            </w:pPr>
            <w:r>
              <w:rPr>
                <w:rFonts w:ascii="Times New Roman" w:hAnsi="Times New Roman" w:cs="Times New Roman"/>
                <w:color w:val="#000000"/>
                <w:sz w:val="24"/>
                <w:szCs w:val="24"/>
              </w:rPr>
              <w:t> Применение различных форм страховых фондов.</w:t>
            </w:r>
          </w:p>
          <w:p>
            <w:pPr>
              <w:jc w:val="left"/>
              <w:spacing w:after="0" w:line="240" w:lineRule="auto"/>
              <w:rPr>
                <w:sz w:val="24"/>
                <w:szCs w:val="24"/>
              </w:rPr>
            </w:pPr>
            <w:r>
              <w:rPr>
                <w:rFonts w:ascii="Times New Roman" w:hAnsi="Times New Roman" w:cs="Times New Roman"/>
                <w:color w:val="#000000"/>
                <w:sz w:val="24"/>
                <w:szCs w:val="24"/>
              </w:rPr>
              <w:t> Страхование в системе риск-менеджмента.</w:t>
            </w:r>
          </w:p>
          <w:p>
            <w:pPr>
              <w:jc w:val="left"/>
              <w:spacing w:after="0" w:line="240" w:lineRule="auto"/>
              <w:rPr>
                <w:sz w:val="24"/>
                <w:szCs w:val="24"/>
              </w:rPr>
            </w:pPr>
            <w:r>
              <w:rPr>
                <w:rFonts w:ascii="Times New Roman" w:hAnsi="Times New Roman" w:cs="Times New Roman"/>
                <w:color w:val="#000000"/>
                <w:sz w:val="24"/>
                <w:szCs w:val="24"/>
              </w:rPr>
              <w:t> Правовые основы страховых отношений.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Хараткеристика организации страховой деятельности, ее особенности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Участники страхового рынка, их характеристика</w:t>
            </w:r>
          </w:p>
          <w:p>
            <w:pPr>
              <w:jc w:val="left"/>
              <w:spacing w:after="0" w:line="240" w:lineRule="auto"/>
              <w:rPr>
                <w:sz w:val="24"/>
                <w:szCs w:val="24"/>
              </w:rPr>
            </w:pPr>
            <w:r>
              <w:rPr>
                <w:rFonts w:ascii="Times New Roman" w:hAnsi="Times New Roman" w:cs="Times New Roman"/>
                <w:color w:val="#000000"/>
                <w:sz w:val="24"/>
                <w:szCs w:val="24"/>
              </w:rPr>
              <w:t> Страховые посредники: агенты и брокеры.</w:t>
            </w:r>
          </w:p>
          <w:p>
            <w:pPr>
              <w:jc w:val="left"/>
              <w:spacing w:after="0" w:line="240" w:lineRule="auto"/>
              <w:rPr>
                <w:sz w:val="24"/>
                <w:szCs w:val="24"/>
              </w:rPr>
            </w:pPr>
            <w:r>
              <w:rPr>
                <w:rFonts w:ascii="Times New Roman" w:hAnsi="Times New Roman" w:cs="Times New Roman"/>
                <w:color w:val="#000000"/>
                <w:sz w:val="24"/>
                <w:szCs w:val="24"/>
              </w:rPr>
              <w:t> Государственный надзор за страховой деятельностью. Лицензирование страховой деятельности.</w:t>
            </w:r>
          </w:p>
          <w:p>
            <w:pPr>
              <w:jc w:val="left"/>
              <w:spacing w:after="0" w:line="240" w:lineRule="auto"/>
              <w:rPr>
                <w:sz w:val="24"/>
                <w:szCs w:val="24"/>
              </w:rPr>
            </w:pPr>
            <w:r>
              <w:rPr>
                <w:rFonts w:ascii="Times New Roman" w:hAnsi="Times New Roman" w:cs="Times New Roman"/>
                <w:color w:val="#000000"/>
                <w:sz w:val="24"/>
                <w:szCs w:val="24"/>
              </w:rPr>
              <w:t> Страховая статистика, используемая для оценки развития страхового рынка.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Хараткеристика видов страховой деятельности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Страхование жизни и его отличительные особенности. Аннуитеты. Проблемы и перспективы развития страхования жизни.</w:t>
            </w:r>
          </w:p>
          <w:p>
            <w:pPr>
              <w:jc w:val="left"/>
              <w:spacing w:after="0" w:line="240" w:lineRule="auto"/>
              <w:rPr>
                <w:sz w:val="24"/>
                <w:szCs w:val="24"/>
              </w:rPr>
            </w:pPr>
            <w:r>
              <w:rPr>
                <w:rFonts w:ascii="Times New Roman" w:hAnsi="Times New Roman" w:cs="Times New Roman"/>
                <w:color w:val="#000000"/>
                <w:sz w:val="24"/>
                <w:szCs w:val="24"/>
              </w:rPr>
              <w:t> Сущность обязательного медицинского страхования (ОМС). Добровольное медицинское страхование (ДМС).</w:t>
            </w:r>
          </w:p>
          <w:p>
            <w:pPr>
              <w:jc w:val="left"/>
              <w:spacing w:after="0" w:line="240" w:lineRule="auto"/>
              <w:rPr>
                <w:sz w:val="24"/>
                <w:szCs w:val="24"/>
              </w:rPr>
            </w:pPr>
            <w:r>
              <w:rPr>
                <w:rFonts w:ascii="Times New Roman" w:hAnsi="Times New Roman" w:cs="Times New Roman"/>
                <w:color w:val="#000000"/>
                <w:sz w:val="24"/>
                <w:szCs w:val="24"/>
              </w:rPr>
              <w:t> Основы имущественного страхования в соответствии с ГК РФ. Страхование имущества юридических лиц.  Страхование потерь в результате перерыва в производстве.</w:t>
            </w:r>
          </w:p>
          <w:p>
            <w:pPr>
              <w:jc w:val="left"/>
              <w:spacing w:after="0" w:line="240" w:lineRule="auto"/>
              <w:rPr>
                <w:sz w:val="24"/>
                <w:szCs w:val="24"/>
              </w:rPr>
            </w:pPr>
            <w:r>
              <w:rPr>
                <w:rFonts w:ascii="Times New Roman" w:hAnsi="Times New Roman" w:cs="Times New Roman"/>
                <w:color w:val="#000000"/>
                <w:sz w:val="24"/>
                <w:szCs w:val="24"/>
              </w:rPr>
              <w:t> Страхование гражданской ответственности.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экономических показателей деятельности страховых организаций</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и структура тарифной ставки. Методика построения тарифов по рисковым видам страхования.</w:t>
            </w:r>
          </w:p>
          <w:p>
            <w:pPr>
              <w:jc w:val="left"/>
              <w:spacing w:after="0" w:line="240" w:lineRule="auto"/>
              <w:rPr>
                <w:sz w:val="24"/>
                <w:szCs w:val="24"/>
              </w:rPr>
            </w:pPr>
            <w:r>
              <w:rPr>
                <w:rFonts w:ascii="Times New Roman" w:hAnsi="Times New Roman" w:cs="Times New Roman"/>
                <w:color w:val="#000000"/>
                <w:sz w:val="24"/>
                <w:szCs w:val="24"/>
              </w:rPr>
              <w:t> Финансовая устойчивость страховщика и факторы ее обеспечения.</w:t>
            </w:r>
          </w:p>
          <w:p>
            <w:pPr>
              <w:jc w:val="left"/>
              <w:spacing w:after="0" w:line="240" w:lineRule="auto"/>
              <w:rPr>
                <w:sz w:val="24"/>
                <w:szCs w:val="24"/>
              </w:rPr>
            </w:pPr>
            <w:r>
              <w:rPr>
                <w:rFonts w:ascii="Times New Roman" w:hAnsi="Times New Roman" w:cs="Times New Roman"/>
                <w:color w:val="#000000"/>
                <w:sz w:val="24"/>
                <w:szCs w:val="24"/>
              </w:rPr>
              <w:t> Платежеспособность страховой компании. Методики оценки платежеспособности страховщиков.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результативности деятельности страховых организаций</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доходов страховой компании. Состав расходов страховой компании.</w:t>
            </w:r>
          </w:p>
          <w:p>
            <w:pPr>
              <w:jc w:val="left"/>
              <w:spacing w:after="0" w:line="240" w:lineRule="auto"/>
              <w:rPr>
                <w:sz w:val="24"/>
                <w:szCs w:val="24"/>
              </w:rPr>
            </w:pPr>
            <w:r>
              <w:rPr>
                <w:rFonts w:ascii="Times New Roman" w:hAnsi="Times New Roman" w:cs="Times New Roman"/>
                <w:color w:val="#000000"/>
                <w:sz w:val="24"/>
                <w:szCs w:val="24"/>
              </w:rPr>
              <w:t> Прибыль страховой компании, ее источники и назначение.</w:t>
            </w:r>
          </w:p>
          <w:p>
            <w:pPr>
              <w:jc w:val="left"/>
              <w:spacing w:after="0" w:line="240" w:lineRule="auto"/>
              <w:rPr>
                <w:sz w:val="24"/>
                <w:szCs w:val="24"/>
              </w:rPr>
            </w:pPr>
            <w:r>
              <w:rPr>
                <w:rFonts w:ascii="Times New Roman" w:hAnsi="Times New Roman" w:cs="Times New Roman"/>
                <w:color w:val="#000000"/>
                <w:sz w:val="24"/>
                <w:szCs w:val="24"/>
              </w:rPr>
              <w:t> Оценка финансового состояния страховых компаний.</w:t>
            </w:r>
          </w:p>
          <w:p>
            <w:pPr>
              <w:jc w:val="left"/>
              <w:spacing w:after="0" w:line="240" w:lineRule="auto"/>
              <w:rPr>
                <w:sz w:val="24"/>
                <w:szCs w:val="24"/>
              </w:rPr>
            </w:pPr>
            <w:r>
              <w:rPr>
                <w:rFonts w:ascii="Times New Roman" w:hAnsi="Times New Roman" w:cs="Times New Roman"/>
                <w:color w:val="#000000"/>
                <w:sz w:val="24"/>
                <w:szCs w:val="24"/>
              </w:rPr>
              <w:t> Налогообложение в страховании.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перестрахования в страховых организациях</w:t>
            </w:r>
          </w:p>
        </w:tc>
      </w:tr>
      <w:tr>
        <w:trPr>
          <w:trHeight w:hRule="exact" w:val="21.31518"/>
        </w:trPr>
        <w:tc>
          <w:tcPr>
            <w:tcW w:w="9640" w:type="dxa"/>
          </w:tcPr>
          <w:p/>
        </w:tc>
      </w:tr>
      <w:tr>
        <w:trPr>
          <w:trHeight w:hRule="exact" w:val="580.503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Перестрахование как способ дополнительной раскладки риска и обеспечения финансовой устойчивости страховщика.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Пропорциональное перестрахование как метод распределение риска.</w:t>
            </w:r>
          </w:p>
          <w:p>
            <w:pPr>
              <w:jc w:val="left"/>
              <w:spacing w:after="0" w:line="240" w:lineRule="auto"/>
              <w:rPr>
                <w:sz w:val="24"/>
                <w:szCs w:val="24"/>
              </w:rPr>
            </w:pPr>
            <w:r>
              <w:rPr>
                <w:rFonts w:ascii="Times New Roman" w:hAnsi="Times New Roman" w:cs="Times New Roman"/>
                <w:color w:val="#000000"/>
                <w:sz w:val="24"/>
                <w:szCs w:val="24"/>
              </w:rPr>
              <w:t> Особенности распределения ответственности при квотном и эксцедентном перестраховании.</w:t>
            </w:r>
          </w:p>
          <w:p>
            <w:pPr>
              <w:jc w:val="left"/>
              <w:spacing w:after="0" w:line="240" w:lineRule="auto"/>
              <w:rPr>
                <w:sz w:val="24"/>
                <w:szCs w:val="24"/>
              </w:rPr>
            </w:pPr>
            <w:r>
              <w:rPr>
                <w:rFonts w:ascii="Times New Roman" w:hAnsi="Times New Roman" w:cs="Times New Roman"/>
                <w:color w:val="#000000"/>
                <w:sz w:val="24"/>
                <w:szCs w:val="24"/>
              </w:rPr>
              <w:t> Перестраховочная премия и факторы, ее определяющие.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страхования и перестрахования»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https://urait.ru/bcode/455363</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https://urait.ru/bcode/447155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Белозёров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Зайцев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Калайда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Кудрявцев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Фаизова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Рязанов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Черногузова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https://urait.ru/bcode/426120</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Костюхин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Скрябин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https://urait.ru/bcode/452795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2.7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107.3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2023-2024_ФГОС3++2023_Маг-ОФО-Э(КУРиС)(23)_plx_Теория страхования и перестрахования</dc:title>
  <dc:creator>FastReport.NET</dc:creator>
</cp:coreProperties>
</file>